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B7" w:rsidRDefault="008A2EC6" w:rsidP="008A2EC6">
      <w:pPr>
        <w:jc w:val="center"/>
        <w:rPr>
          <w:rFonts w:ascii="Times New Roman" w:hAnsi="Times New Roman" w:cs="Times New Roman"/>
          <w:b/>
          <w:sz w:val="24"/>
          <w:szCs w:val="24"/>
        </w:rPr>
      </w:pPr>
      <w:r w:rsidRPr="008A2EC6">
        <w:rPr>
          <w:rFonts w:ascii="Times New Roman" w:hAnsi="Times New Roman" w:cs="Times New Roman"/>
          <w:b/>
          <w:sz w:val="24"/>
          <w:szCs w:val="24"/>
        </w:rPr>
        <w:t>Материал по теме «Серебряный век</w:t>
      </w:r>
      <w:r>
        <w:rPr>
          <w:rFonts w:ascii="Times New Roman" w:hAnsi="Times New Roman" w:cs="Times New Roman"/>
          <w:b/>
          <w:sz w:val="24"/>
          <w:szCs w:val="24"/>
        </w:rPr>
        <w:t>» русской культуры и литературы</w:t>
      </w:r>
      <w:r w:rsidRPr="008A2EC6">
        <w:rPr>
          <w:rFonts w:ascii="Times New Roman" w:hAnsi="Times New Roman" w:cs="Times New Roman"/>
          <w:b/>
          <w:sz w:val="24"/>
          <w:szCs w:val="24"/>
        </w:rPr>
        <w:t>»</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Понятие Серебряного века. Модернизация России в конце XIX — начале XX в. вела к разрушению многих ценностей и вековых устоев жизни людей. Казалось, менялся не только окружающий мир, но и представления о добре и зле, прекрасном и безобразном и т.д.</w:t>
      </w: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Осмысление этих проблем затронуло сферу культуры. Расцвет культуры в тот период был беспрецедентным. Он охватил все виды творческой деятельности, породил плеяду блестящих имен. Этот феномен получил название Серебряный век русской культуры (Золотым веком считается XIX в.). Для Серебряного века характерны величайшие достижения в культуре; сама культура становится более сложной, а результаты творческой деятельности — более противоречивыми.</w:t>
      </w: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b/>
          <w:sz w:val="24"/>
          <w:szCs w:val="24"/>
        </w:rPr>
        <w:t>Наука и техника.</w:t>
      </w:r>
      <w:r w:rsidRPr="008A2EC6">
        <w:rPr>
          <w:rFonts w:ascii="Times New Roman" w:hAnsi="Times New Roman" w:cs="Times New Roman"/>
          <w:sz w:val="24"/>
          <w:szCs w:val="24"/>
        </w:rPr>
        <w:t xml:space="preserve"> В начале XX в. главным штабом российской науки оставалась Академия наук с развившейся системой институтов. Немалую роль в подготовке научных кадров и развитии самой науки играли университеты с их научными обществами, а также всероссийские съезды ученых.</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 xml:space="preserve">Значительных успехов достигли исследования в области механики и математики, что позволило развить новые области науки — воздухоплавание и электротехнику. Немалую роль в этом сыграли исследования Н.Е. Жуковского, создателя </w:t>
      </w:r>
      <w:proofErr w:type="spellStart"/>
      <w:r w:rsidRPr="008A2EC6">
        <w:rPr>
          <w:rFonts w:ascii="Times New Roman" w:hAnsi="Times New Roman" w:cs="Times New Roman"/>
          <w:sz w:val="24"/>
          <w:szCs w:val="24"/>
        </w:rPr>
        <w:t>гидро</w:t>
      </w:r>
      <w:proofErr w:type="spellEnd"/>
      <w:r w:rsidRPr="008A2EC6">
        <w:rPr>
          <w:rFonts w:ascii="Times New Roman" w:hAnsi="Times New Roman" w:cs="Times New Roman"/>
          <w:sz w:val="24"/>
          <w:szCs w:val="24"/>
        </w:rPr>
        <w:t>- и аэродинамики, автора работ по теории авиации, которые послужили основой для авиационной науки.</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В 1913 г. в Петербурге на Русско-Балтийском заводе были созданы первые отечественные самолеты «Русский витязь» и «Илья Муромец» конструкции И.И. Сикорского. В 1911 г. Г.Е. Котельников создал первый в мире ранцевый парашют.</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Учитель из Калуги К.Э. Циолковский в 1903 г. опубликовал статью «Исследование мировых пространств реактивными приборами», где была изложена теория движения ракет; это заложило основу будущих космических полетов.</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Труды В.И. Вернадского стали импульсом для развития биохимии, биогеохимии и радиогеологии. Ученого отличала широта интересов, он поднимал глубокие проблемы и предвидел открытия в самых разных областях.</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Великий русский физиолог И.П. Павлов создал учение об условных рефлексах, в котором дал материалистическое объяснение высшей нервной деятельности человека. В 1904 г. за исследования в области физиологии пищеварения И. П. Павлову — первому из русских ученых — была присуждена Нобелевская премия. Через четыре года (1908) этой премии удостоился И.И. Мечников за исследование проблем иммунологии и инфекционных заболеваний.</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b/>
          <w:sz w:val="24"/>
          <w:szCs w:val="24"/>
        </w:rPr>
        <w:t>Литература.</w:t>
      </w:r>
      <w:r w:rsidRPr="008A2EC6">
        <w:rPr>
          <w:rFonts w:ascii="Times New Roman" w:hAnsi="Times New Roman" w:cs="Times New Roman"/>
          <w:sz w:val="24"/>
          <w:szCs w:val="24"/>
        </w:rPr>
        <w:t xml:space="preserve"> В русскую литературу вошло немало имен, снискавших мировую известность.</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 xml:space="preserve">И.Л. Бунин продолжил традиции русской культуры XIX в. Долгое время проза Бунина оценивалась гораздо ниже его поэзии. И лишь повести «Деревня» (1910) и «Суходол» (1911), одна из </w:t>
      </w:r>
      <w:proofErr w:type="gramStart"/>
      <w:r w:rsidRPr="008A2EC6">
        <w:rPr>
          <w:rFonts w:ascii="Times New Roman" w:hAnsi="Times New Roman" w:cs="Times New Roman"/>
          <w:sz w:val="24"/>
          <w:szCs w:val="24"/>
        </w:rPr>
        <w:t>тем</w:t>
      </w:r>
      <w:proofErr w:type="gramEnd"/>
      <w:r w:rsidRPr="008A2EC6">
        <w:rPr>
          <w:rFonts w:ascii="Times New Roman" w:hAnsi="Times New Roman" w:cs="Times New Roman"/>
          <w:sz w:val="24"/>
          <w:szCs w:val="24"/>
        </w:rPr>
        <w:t xml:space="preserve"> которых — социальный конфликт в деревне, заставили говорить о нем </w:t>
      </w:r>
      <w:r w:rsidRPr="008A2EC6">
        <w:rPr>
          <w:rFonts w:ascii="Times New Roman" w:hAnsi="Times New Roman" w:cs="Times New Roman"/>
          <w:sz w:val="24"/>
          <w:szCs w:val="24"/>
        </w:rPr>
        <w:lastRenderedPageBreak/>
        <w:t>как о большом мастере. Рассказы и повести Бунина, такие как «Антоновские яблоки», «Жизнь Арсеньева», принесли ему мировую известность.</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 xml:space="preserve">Если прозу Бунина отличали строгость, отточенность и совершенность формы, внешняя бесстрастность автора, то в прозе А.И. Куприна проявились стихийность и страстность, свойственные личности писателя. Любимыми его героями были люди душевно чистые, мечтательные и </w:t>
      </w:r>
      <w:proofErr w:type="gramStart"/>
      <w:r w:rsidRPr="008A2EC6">
        <w:rPr>
          <w:rFonts w:ascii="Times New Roman" w:hAnsi="Times New Roman" w:cs="Times New Roman"/>
          <w:sz w:val="24"/>
          <w:szCs w:val="24"/>
        </w:rPr>
        <w:t>одновременно безвольные</w:t>
      </w:r>
      <w:proofErr w:type="gramEnd"/>
      <w:r w:rsidRPr="008A2EC6">
        <w:rPr>
          <w:rFonts w:ascii="Times New Roman" w:hAnsi="Times New Roman" w:cs="Times New Roman"/>
          <w:sz w:val="24"/>
          <w:szCs w:val="24"/>
        </w:rPr>
        <w:t xml:space="preserve"> и непрактичные. Зачастую любовь в произведениях Куприна кончается гибелью героя («Гранатовый браслет», «Поединок»).</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Иным было творчество М. Горького (А.М. Пешкова), который вошел в историю как «буревестник революции». В его произведениях появились новые, революционные темы и новые, неизвестные до того литературные герои («Мать», «Фома Гордеев», «Дело Артамоновых» и др.). В ранних рассказах («Макар Чудра») Горький выступил как романтик.</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Самым ярким событием в публицистике стал выход в 1908 г. сборника «Вехи». Его авторами были известные либеральные публицисты (Н.А. Бердяев, С. Н. Булгаков, П.Б. Струве, А.С. Изгоев, С.JI. Франк, Б.А. Кистяковский, М.О. Гершензон). Они обвиняли интеллигенцию в игнорировании национальных и религиозных интересов России, в подавлении инакомыслящих, в неуважении к праву, разжигании в массах самых темных инстинктов. Веховцы указывали, что русская интеллигенция чужда своему народу, Футуризм также был своеобразным ответвлением символизма, но это направление приняло самую крайнюю эстетическую форму. Впервые русский футуризм заявил о себе в 1910 г. выходом сборника «Садок судей» (Д.Д. Бурлюк, В.В. Хлебников и В.В. Каменский). Авторы сборника вместе с В.В. Маяковским и А.Е. Крученых образовали группу кубофутуристов. Помимо поэзии многие занимались и живописью (братья Бурлюки, Маяковский). В свою очередь, художники-футуристы К. С. Малевич и В. В. Кандинский писали стихи.</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который ее ненавидит, и никогда не будет понимать.</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Новые направления в литературе и искусстве. Крупнейшим течением в литературе и искусстве являлся символизм, признанным идейным вождем которого был поэт и философ В.С. Соловьев. Научному познанию мира символисты противопоставляли конструирование мира в процессе творчества. Они считали, что высшие сферы жизни можно познать не традиционными путями, а лишь через познание тайного смысла символов. Самыми выдающимися поэтами - символистами считаются А. А. Блок, В. Я. Брюсов, К. Д. Бальмонт.</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b/>
          <w:sz w:val="24"/>
          <w:szCs w:val="24"/>
        </w:rPr>
        <w:t>Символизм</w:t>
      </w:r>
      <w:r w:rsidRPr="008A2EC6">
        <w:rPr>
          <w:rFonts w:ascii="Times New Roman" w:hAnsi="Times New Roman" w:cs="Times New Roman"/>
          <w:sz w:val="24"/>
          <w:szCs w:val="24"/>
        </w:rPr>
        <w:t xml:space="preserve"> способствовал появлению новых течений, одним из которых был акмеизм (от греч. akme — цветущая сила). Признанным главой направления был Н.С. Гумилев. Акмеисты провозглашали возврат от многозначности образов, метафоричности к предметному миру и точному значению слова. Поэтами-акмеистами были А. А. Ахматова, О. Э. Мандельштам, М. А. Волошин. По мысли Гумилева, акмеизм должен был открыть ценность человеческой жизни и помочь принять мир во всем его многообразии.</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b/>
          <w:sz w:val="24"/>
          <w:szCs w:val="24"/>
        </w:rPr>
        <w:t>Футуризм</w:t>
      </w:r>
      <w:r w:rsidRPr="008A2EC6">
        <w:rPr>
          <w:rFonts w:ascii="Times New Roman" w:hAnsi="Times New Roman" w:cs="Times New Roman"/>
          <w:sz w:val="24"/>
          <w:szCs w:val="24"/>
        </w:rPr>
        <w:t xml:space="preserve"> стал поэзией протеста, стремящегося к разрушению существующих порядков. Вместе с тем футуристы, подобно символистам, мечтали о создании искусства, способного преобразовать мир. Больше всего они страшились равнодушия и потому пользовались любым поводом для публичного скандала.</w:t>
      </w: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b/>
          <w:sz w:val="24"/>
          <w:szCs w:val="24"/>
        </w:rPr>
        <w:lastRenderedPageBreak/>
        <w:t>Живопись.</w:t>
      </w:r>
      <w:r w:rsidRPr="008A2EC6">
        <w:rPr>
          <w:rFonts w:ascii="Times New Roman" w:hAnsi="Times New Roman" w:cs="Times New Roman"/>
          <w:sz w:val="24"/>
          <w:szCs w:val="24"/>
        </w:rPr>
        <w:t xml:space="preserve"> В конце XIX — начале XX в. продолжали свою творческую деятельность такие видные русские живописцы-реалисты, как В. И. Суриков, В. М. и А. М. Васнецовы, И. Е. Репин, В. А. Серов и др.</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В конце XIX столетия в русскую живопись пришли К.А. Коровин и М.А. Врубель. Пейзажи Коровина отличались яркими красками и романтической приподнятостью. Картины Врубеля, словно мозаика, слеплены из искрящихся кусочков. Сочетание цвета в них имело собственные смысловые значения, а сюжеты поражают фантастикой.</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 xml:space="preserve">Значительную роль в русском искусстве начала XX в. играло движение «Мир искусства», возникшее как своеобразная реакция на движение передвижников. Идейной основой работ «мир искусников» было изображение не грубых реалий современной жизни, а вечных тем. Одним из идейных вождей «Мира искусства» был А.Н. Бенуа, обладавший </w:t>
      </w:r>
      <w:proofErr w:type="gramStart"/>
      <w:r w:rsidRPr="008A2EC6">
        <w:rPr>
          <w:rFonts w:ascii="Times New Roman" w:hAnsi="Times New Roman" w:cs="Times New Roman"/>
          <w:sz w:val="24"/>
          <w:szCs w:val="24"/>
        </w:rPr>
        <w:t>разно- сторонними</w:t>
      </w:r>
      <w:proofErr w:type="gramEnd"/>
      <w:r w:rsidRPr="008A2EC6">
        <w:rPr>
          <w:rFonts w:ascii="Times New Roman" w:hAnsi="Times New Roman" w:cs="Times New Roman"/>
          <w:sz w:val="24"/>
          <w:szCs w:val="24"/>
        </w:rPr>
        <w:t xml:space="preserve"> дарованиями. Он был живописцем, графиком, театральным художником, историком искусства.</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 xml:space="preserve">Деятельности «Мира искусства» было противопоставлено творчество молодых художников, группирующихся в организациях «Бубновый валет» и «Союз молодежи». Среди них были и символисты, и футуристы, и кубисты, но каждый имел свое творческое лицо. Такими художниками были П.Н. Филонов и </w:t>
      </w:r>
      <w:proofErr w:type="spellStart"/>
      <w:r w:rsidRPr="008A2EC6">
        <w:rPr>
          <w:rFonts w:ascii="Times New Roman" w:hAnsi="Times New Roman" w:cs="Times New Roman"/>
          <w:sz w:val="24"/>
          <w:szCs w:val="24"/>
        </w:rPr>
        <w:t>В.В.Кандинский</w:t>
      </w:r>
      <w:proofErr w:type="spellEnd"/>
      <w:r w:rsidRPr="008A2EC6">
        <w:rPr>
          <w:rFonts w:ascii="Times New Roman" w:hAnsi="Times New Roman" w:cs="Times New Roman"/>
          <w:sz w:val="24"/>
          <w:szCs w:val="24"/>
        </w:rPr>
        <w:t>. Филонов в своей живописной технике тяготел к футуризму. Кандинский — к новейшему искусству. Он нередко изображал лишь очертания предметов, и его можно назвать отцом русского абстракционизма.</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Иными были картины К.С. Петрова-Водкина, сохранившего национальные традиции живописи, но придавшего им особую форму. Таковы его полотна «Купание красного коня», напоминающее изображение Георгия Победоносца, и «Девушки на Волге», в которых отчетливо прослеживается связь с реалистической живописью XIX в.</w:t>
      </w: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b/>
          <w:sz w:val="24"/>
          <w:szCs w:val="24"/>
        </w:rPr>
        <w:t>Музыка.</w:t>
      </w:r>
      <w:r w:rsidRPr="008A2EC6">
        <w:rPr>
          <w:rFonts w:ascii="Times New Roman" w:hAnsi="Times New Roman" w:cs="Times New Roman"/>
          <w:sz w:val="24"/>
          <w:szCs w:val="24"/>
        </w:rPr>
        <w:t xml:space="preserve"> Крупнейшими русскими композиторами начала XX столетия были А.Н.</w:t>
      </w:r>
      <w:r w:rsidR="00181CD4">
        <w:rPr>
          <w:rFonts w:ascii="Times New Roman" w:hAnsi="Times New Roman" w:cs="Times New Roman"/>
          <w:sz w:val="24"/>
          <w:szCs w:val="24"/>
        </w:rPr>
        <w:t xml:space="preserve"> </w:t>
      </w:r>
      <w:bookmarkStart w:id="0" w:name="_GoBack"/>
      <w:bookmarkEnd w:id="0"/>
      <w:r w:rsidRPr="008A2EC6">
        <w:rPr>
          <w:rFonts w:ascii="Times New Roman" w:hAnsi="Times New Roman" w:cs="Times New Roman"/>
          <w:sz w:val="24"/>
          <w:szCs w:val="24"/>
        </w:rPr>
        <w:t>Скрябин и С.В.</w:t>
      </w:r>
      <w:r w:rsidR="00181CD4">
        <w:rPr>
          <w:rFonts w:ascii="Times New Roman" w:hAnsi="Times New Roman" w:cs="Times New Roman"/>
          <w:sz w:val="24"/>
          <w:szCs w:val="24"/>
        </w:rPr>
        <w:t xml:space="preserve"> </w:t>
      </w:r>
      <w:r w:rsidRPr="008A2EC6">
        <w:rPr>
          <w:rFonts w:ascii="Times New Roman" w:hAnsi="Times New Roman" w:cs="Times New Roman"/>
          <w:sz w:val="24"/>
          <w:szCs w:val="24"/>
        </w:rPr>
        <w:t>Рахманинов, творчество которых, взволнованное, приподнятое по своему характеру, было особенно близко широким общественным кругам в период напряженного ожидания революции. Скрябин от романтизма эволюционировал к символизму, предвидя многие новаторские течения революционной эпохи. Строй музыки Рахманинова более традиционен. В его произведениях душевное состояние обычно соединялось с картинами внешнего мира, поэзией русской природы или образами прошлого.</w:t>
      </w:r>
    </w:p>
    <w:p w:rsidR="008A2EC6" w:rsidRPr="00181CD4" w:rsidRDefault="008A2EC6" w:rsidP="008A2EC6">
      <w:pPr>
        <w:rPr>
          <w:rFonts w:ascii="Times New Roman" w:hAnsi="Times New Roman" w:cs="Times New Roman"/>
          <w:b/>
          <w:sz w:val="24"/>
          <w:szCs w:val="24"/>
        </w:rPr>
      </w:pPr>
      <w:r w:rsidRPr="00181CD4">
        <w:rPr>
          <w:rFonts w:ascii="Times New Roman" w:hAnsi="Times New Roman" w:cs="Times New Roman"/>
          <w:b/>
          <w:sz w:val="24"/>
          <w:szCs w:val="24"/>
        </w:rPr>
        <w:t>В</w:t>
      </w:r>
      <w:r w:rsidRPr="00181CD4">
        <w:rPr>
          <w:rFonts w:ascii="Times New Roman" w:hAnsi="Times New Roman" w:cs="Times New Roman"/>
          <w:b/>
          <w:sz w:val="24"/>
          <w:szCs w:val="24"/>
        </w:rPr>
        <w:t>ажнейшие исторические события, произошедшие в России в начале 20 века?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1894–1917 гг. – Правление Николая II.</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1895 г. – Изобретение А. С. Поповым радиосвязи.</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1895 г. – Создание «Союза борьбы за освобождение рабочего класса».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1897 г. – Первая всеобщая перепись населения России.</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1897 г. – Денежная реформа С. Ю. Витте.</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1898 г. – I съезд РСДРП.</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1899 г. – Гаагская мирная конференция 26 держав по проблемам разоружения, созванная по инициативе России.</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lastRenderedPageBreak/>
        <w:t>1901–1902 гг. – Создание партии социалистов-революционеров (эсеров) в результате объединения неонароднических кружков.</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1903 г. – II съезд РСДРП. Создание партии.</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1903 г. – Создание «Союза земцев конституционалистов».</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1904–1905 гг. – Русско</w:t>
      </w:r>
      <w:r>
        <w:rPr>
          <w:rFonts w:ascii="Times New Roman" w:hAnsi="Times New Roman" w:cs="Times New Roman"/>
          <w:sz w:val="24"/>
          <w:szCs w:val="24"/>
        </w:rPr>
        <w:t>-</w:t>
      </w:r>
      <w:r w:rsidRPr="00181CD4">
        <w:rPr>
          <w:rFonts w:ascii="Times New Roman" w:hAnsi="Times New Roman" w:cs="Times New Roman"/>
          <w:sz w:val="24"/>
          <w:szCs w:val="24"/>
        </w:rPr>
        <w:t xml:space="preserve"> японская война.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1904 г., август. – Сражение под городом Ляоян.</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1904 г., сентябрь. – Сражение на реке Шахэ.</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1905 г., 9 января. – «Кровавое воскресенье». Начало первой российской революции.</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1905–1907 гг. – Первая российская революция.</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1905 г., февраль. – Поражение русской армии под городом Мукденом.</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1905 г., май. – Гибель русского флота возле острова Цусима.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1905 г., июнь. – Восстание на броненосце «Князь Потемкин-Таврический».</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1905 г., август. – Заключение Портсмутского мирного договора по итогам русско-японской войны. Россия уступала Японии южную часть Сахалина, арендные права на Ляодунский полуостров и Южно</w:t>
      </w:r>
      <w:r>
        <w:rPr>
          <w:rFonts w:ascii="Times New Roman" w:hAnsi="Times New Roman" w:cs="Times New Roman"/>
          <w:sz w:val="24"/>
          <w:szCs w:val="24"/>
        </w:rPr>
        <w:t>-</w:t>
      </w:r>
      <w:r w:rsidRPr="00181CD4">
        <w:rPr>
          <w:rFonts w:ascii="Times New Roman" w:hAnsi="Times New Roman" w:cs="Times New Roman"/>
          <w:sz w:val="24"/>
          <w:szCs w:val="24"/>
        </w:rPr>
        <w:t xml:space="preserve"> Маньчжурскую железную дорогу.</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1905 г., 17 октября. – Издание Манифеста «Об усовершенствовании государственного порядка».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1905 г., ноябрь. – Создание «Союза русского народа».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1905 г., декабрь. – Вооруженное восстание в Москве и ряде других городов.</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1906 г., апрель – июль. – Деятельность I Государственной думы.</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1906 г., 9 ноября. – Указ о выходе крестьян из общины. Начало проведения столыпинской аграрной реформы.</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1907 г., февраль – июнь. – Деятельность II Государственной думы.</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1907 г., 3 июня. – Роспуск II Государственной думы. Принятие нового избирательного закона (третьеиюньский переворот).</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1907–1912 гг. – Деятельность III Государственной думы.</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1907 г., август – Русско</w:t>
      </w:r>
      <w:r>
        <w:rPr>
          <w:rFonts w:ascii="Times New Roman" w:hAnsi="Times New Roman" w:cs="Times New Roman"/>
          <w:sz w:val="24"/>
          <w:szCs w:val="24"/>
        </w:rPr>
        <w:t>-</w:t>
      </w:r>
      <w:r w:rsidRPr="00181CD4">
        <w:rPr>
          <w:rFonts w:ascii="Times New Roman" w:hAnsi="Times New Roman" w:cs="Times New Roman"/>
          <w:sz w:val="24"/>
          <w:szCs w:val="24"/>
        </w:rPr>
        <w:t xml:space="preserve"> английское соглашение о разграничении зон влияния в Иране, Афганистане и Тибете. Окончательное оформление союза «Антанта».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1912 г. – Ленский расстрел.</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1912–1917 гг. – Деятельность IV Государственной думы.</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1914 г., 1 августа – 1918 г., 9 ноября. – Первая мировая война.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1915 г., август. – Создание Прогрессивного блока.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1916 г., май. – «Брусиловский прорыв».</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1917 г., февраль. – Февральская буржуазно демократическая революция в России.</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lastRenderedPageBreak/>
        <w:t>1917 г., 2 марта. – Отречение Николая II от престола. Образование Временного правительства.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1917 г., май. – Образование 1-го коалиционного Временного правительства.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1917 г., июнь. – Деятельность I Всероссийского съезда Советов рабочих и солдатских депутатов.</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1917 г., июль. – Образование 2-го коалиционного Временного правительства.</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1917 г., август. – Корниловский мятеж.</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1917 г., 1 сентября. – Провозглашение России республикой.</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1917 г., 24–26 октября. – Вооруженное восстание в Петрограде. Свержение Временного правительства. II Всероссийский съезд Советов (Провозглашение России Республикой Советов.). Принятие декретов о мире и земле.</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1918 г., январь. – Созыв и роспуск Учредительного собрания.</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1918 г., 3 марта. – Заключение Брестского мира между Советской Россией и Германией. Россия потеряла Польшу, Литву, часть Латвии, Финляндию, Украину, часть Белоруссии, Карс, Ардаган и Батум. Договор аннулирован в ноябре 1918 г. после революции в Германии.</w:t>
      </w:r>
    </w:p>
    <w:p w:rsidR="00181CD4" w:rsidRPr="00181CD4" w:rsidRDefault="00181CD4" w:rsidP="00181CD4">
      <w:pPr>
        <w:rPr>
          <w:rFonts w:ascii="Times New Roman" w:hAnsi="Times New Roman" w:cs="Times New Roman"/>
          <w:sz w:val="24"/>
          <w:szCs w:val="24"/>
        </w:rPr>
      </w:pPr>
      <w:r w:rsidRPr="00181CD4">
        <w:rPr>
          <w:rFonts w:ascii="Times New Roman" w:hAnsi="Times New Roman" w:cs="Times New Roman"/>
          <w:sz w:val="24"/>
          <w:szCs w:val="24"/>
        </w:rPr>
        <w:t>1918–1920 гг. – Гражданская война в России.</w:t>
      </w: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r w:rsidRPr="008A2EC6">
        <w:rPr>
          <w:rFonts w:ascii="Times New Roman" w:hAnsi="Times New Roman" w:cs="Times New Roman"/>
          <w:sz w:val="24"/>
          <w:szCs w:val="24"/>
        </w:rPr>
        <w:t xml:space="preserve"> </w:t>
      </w: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p w:rsidR="008A2EC6" w:rsidRPr="008A2EC6" w:rsidRDefault="008A2EC6" w:rsidP="008A2EC6">
      <w:pPr>
        <w:rPr>
          <w:rFonts w:ascii="Times New Roman" w:hAnsi="Times New Roman" w:cs="Times New Roman"/>
          <w:sz w:val="24"/>
          <w:szCs w:val="24"/>
        </w:rPr>
      </w:pPr>
    </w:p>
    <w:sectPr w:rsidR="008A2EC6" w:rsidRPr="008A2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84"/>
    <w:rsid w:val="00181CD4"/>
    <w:rsid w:val="008A2EC6"/>
    <w:rsid w:val="00AE14B7"/>
    <w:rsid w:val="00B2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94CA"/>
  <w15:chartTrackingRefBased/>
  <w15:docId w15:val="{90AC4F81-F46A-4221-82CA-656F83FF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2020-05-26T15:18:00Z</dcterms:created>
  <dcterms:modified xsi:type="dcterms:W3CDTF">2020-05-26T15:36:00Z</dcterms:modified>
</cp:coreProperties>
</file>